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4" w:rsidRPr="00851914" w:rsidRDefault="00851914" w:rsidP="00851914">
      <w:pPr>
        <w:pStyle w:val="a4"/>
        <w:jc w:val="center"/>
        <w:rPr>
          <w:rFonts w:ascii="Arial" w:hAnsi="Arial" w:cs="Arial"/>
          <w:color w:val="000000"/>
        </w:rPr>
      </w:pPr>
      <w:r w:rsidRPr="00851914">
        <w:rPr>
          <w:rStyle w:val="a3"/>
          <w:rFonts w:ascii="Arial" w:hAnsi="Arial" w:cs="Arial"/>
          <w:color w:val="000000"/>
        </w:rPr>
        <w:t>Количество туроператоров, сведения о которых внесены в Единый федеральный реестр туроператоров (по состоянию на 201</w:t>
      </w:r>
      <w:r w:rsidR="0041057C" w:rsidRPr="0041057C">
        <w:rPr>
          <w:rStyle w:val="a3"/>
          <w:rFonts w:ascii="Arial" w:hAnsi="Arial" w:cs="Arial"/>
          <w:color w:val="000000"/>
        </w:rPr>
        <w:t>1</w:t>
      </w:r>
      <w:r w:rsidRPr="00851914">
        <w:rPr>
          <w:rStyle w:val="a3"/>
          <w:rFonts w:ascii="Arial" w:hAnsi="Arial" w:cs="Arial"/>
          <w:color w:val="000000"/>
        </w:rPr>
        <w:t xml:space="preserve"> г.)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Общее количество туроператоров: 4 283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В том числе: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Внутренний туризм: 1 825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Международный туризм: 2 458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Международный въездной туризм: 621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Международный выездной туризм: 1 837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Способы финансового обеспечения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Банковские гарантии: 30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Договоры страхования: 4 253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Размеры финансового обеспечения</w:t>
      </w:r>
    </w:p>
    <w:p w:rsidR="00851914" w:rsidRPr="0041057C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 w:rsidRPr="00851914">
        <w:rPr>
          <w:rFonts w:ascii="Arial" w:hAnsi="Arial" w:cs="Arial"/>
          <w:b/>
          <w:color w:val="000000"/>
          <w:sz w:val="18"/>
          <w:szCs w:val="18"/>
        </w:rPr>
        <w:t>Внутренний туризм: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1825 (0,5 млн. руб.)</w:t>
      </w:r>
    </w:p>
    <w:p w:rsidR="00851914" w:rsidRPr="0041057C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 w:rsidRPr="00851914">
        <w:rPr>
          <w:rFonts w:ascii="Arial" w:hAnsi="Arial" w:cs="Arial"/>
          <w:b/>
          <w:color w:val="000000"/>
          <w:sz w:val="18"/>
          <w:szCs w:val="18"/>
        </w:rPr>
        <w:t>Международный въездной</w:t>
      </w:r>
      <w:r>
        <w:rPr>
          <w:rFonts w:ascii="Arial" w:hAnsi="Arial" w:cs="Arial"/>
          <w:color w:val="000000"/>
          <w:sz w:val="18"/>
          <w:szCs w:val="18"/>
        </w:rPr>
        <w:t>: 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621 (10 млн. руб.)</w:t>
      </w:r>
    </w:p>
    <w:p w:rsidR="00851914" w:rsidRPr="0041057C" w:rsidRDefault="00851914" w:rsidP="00851914">
      <w:pPr>
        <w:pStyle w:val="a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51914">
        <w:rPr>
          <w:rFonts w:ascii="Arial" w:hAnsi="Arial" w:cs="Arial"/>
          <w:b/>
          <w:color w:val="000000"/>
          <w:sz w:val="18"/>
          <w:szCs w:val="18"/>
        </w:rPr>
        <w:t xml:space="preserve">Международный выездной: </w:t>
      </w:r>
    </w:p>
    <w:p w:rsidR="00851914" w:rsidRPr="0041057C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1762 (30 млн. руб.), </w:t>
      </w:r>
    </w:p>
    <w:p w:rsidR="00851914" w:rsidRDefault="00851914" w:rsidP="00851914">
      <w:pPr>
        <w:pStyle w:val="a4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 xml:space="preserve">37 (60 млн. руб.), </w:t>
      </w:r>
    </w:p>
    <w:p w:rsidR="00851914" w:rsidRDefault="00851914" w:rsidP="00851914">
      <w:pPr>
        <w:pStyle w:val="a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38 (100 млн. руб.)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763828" w:rsidRDefault="00763828"/>
    <w:sectPr w:rsidR="00763828" w:rsidSect="0076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14"/>
    <w:rsid w:val="0041057C"/>
    <w:rsid w:val="00763828"/>
    <w:rsid w:val="00851914"/>
    <w:rsid w:val="00BD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914"/>
    <w:rPr>
      <w:b/>
      <w:bCs/>
    </w:rPr>
  </w:style>
  <w:style w:type="paragraph" w:styleId="a4">
    <w:name w:val="Normal (Web)"/>
    <w:basedOn w:val="a"/>
    <w:uiPriority w:val="99"/>
    <w:semiHidden/>
    <w:unhideWhenUsed/>
    <w:rsid w:val="0085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2010-10-30T09:52:00Z</dcterms:created>
  <dcterms:modified xsi:type="dcterms:W3CDTF">2012-03-29T11:28:00Z</dcterms:modified>
</cp:coreProperties>
</file>